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90" w:rsidRPr="009E69B3" w:rsidRDefault="00954D90" w:rsidP="009E69B3">
      <w:pPr>
        <w:jc w:val="both"/>
        <w:rPr>
          <w:rFonts w:ascii="Arial" w:hAnsi="Arial" w:cs="Arial"/>
          <w:sz w:val="24"/>
          <w:szCs w:val="24"/>
        </w:rPr>
      </w:pPr>
    </w:p>
    <w:p w:rsidR="004419CB" w:rsidRPr="009E69B3" w:rsidRDefault="004419CB" w:rsidP="009E69B3">
      <w:pPr>
        <w:jc w:val="both"/>
        <w:rPr>
          <w:rFonts w:ascii="Arial" w:hAnsi="Arial" w:cs="Arial"/>
          <w:sz w:val="24"/>
          <w:szCs w:val="24"/>
        </w:rPr>
      </w:pPr>
      <w:r w:rsidRPr="009E69B3">
        <w:rPr>
          <w:rFonts w:ascii="Arial" w:hAnsi="Arial" w:cs="Arial"/>
          <w:sz w:val="24"/>
          <w:szCs w:val="24"/>
        </w:rPr>
        <w:t xml:space="preserve">Somos um grupo de cidadãos </w:t>
      </w:r>
      <w:r w:rsidR="009E69B3">
        <w:rPr>
          <w:rFonts w:ascii="Arial" w:hAnsi="Arial" w:cs="Arial"/>
          <w:sz w:val="24"/>
          <w:szCs w:val="24"/>
        </w:rPr>
        <w:t xml:space="preserve">atentos e </w:t>
      </w:r>
      <w:r w:rsidRPr="009E69B3">
        <w:rPr>
          <w:rFonts w:ascii="Arial" w:hAnsi="Arial" w:cs="Arial"/>
          <w:sz w:val="24"/>
          <w:szCs w:val="24"/>
        </w:rPr>
        <w:t xml:space="preserve">cumpridores da lei </w:t>
      </w:r>
      <w:r w:rsidR="0055610E" w:rsidRPr="009E69B3">
        <w:rPr>
          <w:rFonts w:ascii="Arial" w:hAnsi="Arial" w:cs="Arial"/>
          <w:sz w:val="24"/>
          <w:szCs w:val="24"/>
        </w:rPr>
        <w:t>e no pleno exercício efetivo da</w:t>
      </w:r>
      <w:r w:rsidRPr="009E69B3">
        <w:rPr>
          <w:rFonts w:ascii="Arial" w:hAnsi="Arial" w:cs="Arial"/>
          <w:sz w:val="24"/>
          <w:szCs w:val="24"/>
        </w:rPr>
        <w:t xml:space="preserve"> </w:t>
      </w:r>
      <w:r w:rsidR="0055610E" w:rsidRPr="009E69B3">
        <w:rPr>
          <w:rFonts w:ascii="Arial" w:hAnsi="Arial" w:cs="Arial"/>
          <w:sz w:val="24"/>
          <w:szCs w:val="24"/>
        </w:rPr>
        <w:t>cidadania</w:t>
      </w:r>
      <w:r w:rsidRPr="009E69B3">
        <w:rPr>
          <w:rFonts w:ascii="Arial" w:hAnsi="Arial" w:cs="Arial"/>
          <w:sz w:val="24"/>
          <w:szCs w:val="24"/>
        </w:rPr>
        <w:t xml:space="preserve"> e, enquanto professores de vários grupos disciplinares e com alguns anos de experiência na escola pública, vimos por este meio fazer uma proposta de alteração à portaria que cria os centros para a qualificação e o ensino profissional e extingue os centros novas oportunidades. </w:t>
      </w:r>
    </w:p>
    <w:p w:rsidR="004419CB" w:rsidRPr="009E69B3" w:rsidRDefault="004419CB" w:rsidP="009E69B3">
      <w:pPr>
        <w:jc w:val="both"/>
        <w:rPr>
          <w:rFonts w:ascii="Arial" w:hAnsi="Arial" w:cs="Arial"/>
          <w:sz w:val="24"/>
          <w:szCs w:val="24"/>
        </w:rPr>
      </w:pPr>
      <w:r w:rsidRPr="009E69B3">
        <w:rPr>
          <w:rFonts w:ascii="Arial" w:hAnsi="Arial" w:cs="Arial"/>
          <w:sz w:val="24"/>
          <w:szCs w:val="24"/>
        </w:rPr>
        <w:t xml:space="preserve">Por que entendemos que o debate é público e porque a nossa vivência espelha as inúmeras situações de ensino aprendizagem que temos vindo a experienciar, apelamos ao legislador para que a portaria em questão seja justa, equitativa e promotora de qualidade e exigência, valores pelos quais todos nós, enquanto cidadãos, e o governo da nação, em particular, nos pautamos certamente.  </w:t>
      </w:r>
    </w:p>
    <w:p w:rsidR="00F30B44" w:rsidRPr="009E69B3" w:rsidRDefault="00F30B44" w:rsidP="009E69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69B3">
        <w:rPr>
          <w:rFonts w:ascii="Arial" w:hAnsi="Arial" w:cs="Arial"/>
          <w:sz w:val="24"/>
          <w:szCs w:val="24"/>
        </w:rPr>
        <w:t xml:space="preserve">Assim, eis as principais razões que nos impelem a fazer esta proposta de alteração: </w:t>
      </w:r>
      <w:r w:rsidR="004419CB" w:rsidRPr="009E69B3">
        <w:rPr>
          <w:rFonts w:ascii="Arial" w:hAnsi="Arial" w:cs="Arial"/>
          <w:sz w:val="24"/>
          <w:szCs w:val="24"/>
        </w:rPr>
        <w:t xml:space="preserve"> </w:t>
      </w:r>
    </w:p>
    <w:p w:rsidR="004419CB" w:rsidRDefault="004419CB" w:rsidP="009E69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i/>
          <w:sz w:val="24"/>
          <w:szCs w:val="24"/>
        </w:rPr>
        <w:t xml:space="preserve">O referencial de formação do RVCC segue as unidades constantes no CNQ para as quais desde sempre os professores tiveram competências para lecionar. </w:t>
      </w:r>
      <w:r w:rsidR="00F30B44" w:rsidRPr="00371296">
        <w:rPr>
          <w:rFonts w:ascii="Arial" w:hAnsi="Arial" w:cs="Arial"/>
          <w:i/>
          <w:sz w:val="24"/>
          <w:szCs w:val="24"/>
        </w:rPr>
        <w:t xml:space="preserve">Impõe-se </w:t>
      </w:r>
      <w:r w:rsidRPr="00371296">
        <w:rPr>
          <w:rFonts w:ascii="Arial" w:hAnsi="Arial" w:cs="Arial"/>
          <w:i/>
          <w:sz w:val="24"/>
          <w:szCs w:val="24"/>
        </w:rPr>
        <w:t xml:space="preserve">salientar </w:t>
      </w:r>
      <w:proofErr w:type="gramStart"/>
      <w:r w:rsidRPr="00371296">
        <w:rPr>
          <w:rFonts w:ascii="Arial" w:hAnsi="Arial" w:cs="Arial"/>
          <w:i/>
          <w:sz w:val="24"/>
          <w:szCs w:val="24"/>
        </w:rPr>
        <w:t>que</w:t>
      </w:r>
      <w:proofErr w:type="gramEnd"/>
      <w:r w:rsidRPr="00371296">
        <w:rPr>
          <w:rFonts w:ascii="Arial" w:hAnsi="Arial" w:cs="Arial"/>
          <w:i/>
          <w:sz w:val="24"/>
          <w:szCs w:val="24"/>
        </w:rPr>
        <w:t>:</w:t>
      </w:r>
    </w:p>
    <w:p w:rsidR="00371296" w:rsidRPr="00371296" w:rsidRDefault="00371296" w:rsidP="009E69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419CB" w:rsidRDefault="004419CB" w:rsidP="009E69B3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i/>
          <w:sz w:val="24"/>
          <w:szCs w:val="24"/>
        </w:rPr>
        <w:t>Os professores das áreas tecnológicas são detentores de uma habilitação académica específica na área, acrescida de uma formação pedagógica que confere habilitação profissional para a docência, bem como o certificado de</w:t>
      </w:r>
      <w:r w:rsidR="00600896" w:rsidRPr="00371296">
        <w:rPr>
          <w:rFonts w:ascii="Arial" w:hAnsi="Arial" w:cs="Arial"/>
          <w:i/>
          <w:sz w:val="24"/>
          <w:szCs w:val="24"/>
        </w:rPr>
        <w:t xml:space="preserve"> </w:t>
      </w:r>
      <w:r w:rsidRPr="00371296">
        <w:rPr>
          <w:rFonts w:ascii="Arial" w:hAnsi="Arial" w:cs="Arial"/>
          <w:i/>
          <w:sz w:val="24"/>
          <w:szCs w:val="24"/>
        </w:rPr>
        <w:t>competências pedagógicas necessárias à atividade de formador no respetivo perfil profissional;</w:t>
      </w:r>
    </w:p>
    <w:p w:rsidR="00371296" w:rsidRPr="00371296" w:rsidRDefault="00371296" w:rsidP="00371296">
      <w:pPr>
        <w:pStyle w:val="PargrafodaLista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4419CB" w:rsidRDefault="004419CB" w:rsidP="009E69B3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i/>
          <w:sz w:val="24"/>
          <w:szCs w:val="24"/>
        </w:rPr>
        <w:t>Para além da formação referida no ponto anterior, todos os anos os professores frequentam ações de formação contínua na área específica visando a atualização e aperfeiçoamento que a área tecnológica exige, nas vertentes teóricas e práticas, permitindo a melhoria constante da qualidade do ensino;</w:t>
      </w:r>
    </w:p>
    <w:p w:rsidR="00371296" w:rsidRDefault="00371296" w:rsidP="00371296">
      <w:pPr>
        <w:pStyle w:val="PargrafodaLista"/>
        <w:rPr>
          <w:rFonts w:ascii="Arial" w:hAnsi="Arial" w:cs="Arial"/>
          <w:i/>
          <w:sz w:val="24"/>
          <w:szCs w:val="24"/>
        </w:rPr>
      </w:pPr>
    </w:p>
    <w:p w:rsidR="004419CB" w:rsidRDefault="004419CB" w:rsidP="009E69B3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i/>
          <w:sz w:val="24"/>
          <w:szCs w:val="24"/>
        </w:rPr>
        <w:t xml:space="preserve">Também a formação pedagógica na área </w:t>
      </w:r>
      <w:r w:rsidR="00F30B44" w:rsidRPr="00371296">
        <w:rPr>
          <w:rFonts w:ascii="Arial" w:hAnsi="Arial" w:cs="Arial"/>
          <w:i/>
          <w:sz w:val="24"/>
          <w:szCs w:val="24"/>
        </w:rPr>
        <w:t xml:space="preserve">tem de </w:t>
      </w:r>
      <w:r w:rsidRPr="00371296">
        <w:rPr>
          <w:rFonts w:ascii="Arial" w:hAnsi="Arial" w:cs="Arial"/>
          <w:i/>
          <w:sz w:val="24"/>
          <w:szCs w:val="24"/>
        </w:rPr>
        <w:t xml:space="preserve">ser valorizada, uma vez que a capacidade de transmissão de conhecimentos resulta não só do conhecimento científico, mas também de um profundo conhecimento do processo ensino-aprendizagem, da relação professor-aluno, da organização curricular e da tecnologia a ser usada em sala de aula; </w:t>
      </w:r>
    </w:p>
    <w:p w:rsidR="00371296" w:rsidRPr="00371296" w:rsidRDefault="00371296" w:rsidP="00371296">
      <w:pPr>
        <w:pStyle w:val="PargrafodaLista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F30B44" w:rsidRDefault="00F30B44" w:rsidP="009E69B3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i/>
          <w:sz w:val="24"/>
          <w:szCs w:val="24"/>
        </w:rPr>
        <w:t>Desde sempre foi reconhecida aos professores a capacidade de lecionar as áreas tecnológicas do processo de formação de adultos, desde o ensino recorrente por unidades capitalizáveis, aos cursos tecnológicos noturnos e mais recentemente os cursos EFA, que seguem exatamente</w:t>
      </w:r>
      <w:r w:rsidR="00B2528A" w:rsidRPr="00371296">
        <w:rPr>
          <w:rFonts w:ascii="Arial" w:hAnsi="Arial" w:cs="Arial"/>
          <w:i/>
          <w:sz w:val="24"/>
          <w:szCs w:val="24"/>
        </w:rPr>
        <w:t xml:space="preserve"> o</w:t>
      </w:r>
      <w:r w:rsidRPr="00371296">
        <w:rPr>
          <w:rFonts w:ascii="Arial" w:hAnsi="Arial" w:cs="Arial"/>
          <w:i/>
          <w:sz w:val="24"/>
          <w:szCs w:val="24"/>
        </w:rPr>
        <w:t xml:space="preserve"> mesmo referencial de formação (CNQ) do RVCC;</w:t>
      </w:r>
    </w:p>
    <w:p w:rsidR="00371296" w:rsidRDefault="00371296" w:rsidP="00371296">
      <w:pPr>
        <w:pStyle w:val="PargrafodaLista"/>
        <w:rPr>
          <w:rFonts w:ascii="Arial" w:hAnsi="Arial" w:cs="Arial"/>
          <w:i/>
          <w:sz w:val="24"/>
          <w:szCs w:val="24"/>
        </w:rPr>
      </w:pPr>
    </w:p>
    <w:p w:rsidR="00371296" w:rsidRPr="00371296" w:rsidRDefault="00371296" w:rsidP="00371296">
      <w:pPr>
        <w:pStyle w:val="PargrafodaLista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F30B44" w:rsidRDefault="00F30B44" w:rsidP="009E69B3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i/>
          <w:sz w:val="24"/>
          <w:szCs w:val="24"/>
        </w:rPr>
        <w:t>Numa altura de dificuldades económicas e financeiras será de toda a conveniência</w:t>
      </w:r>
      <w:r w:rsidR="00B2528A" w:rsidRPr="00371296">
        <w:rPr>
          <w:rFonts w:ascii="Arial" w:hAnsi="Arial" w:cs="Arial"/>
          <w:i/>
          <w:sz w:val="24"/>
          <w:szCs w:val="24"/>
        </w:rPr>
        <w:t xml:space="preserve"> e necessidade </w:t>
      </w:r>
      <w:r w:rsidR="00327945">
        <w:rPr>
          <w:rFonts w:ascii="Arial" w:hAnsi="Arial" w:cs="Arial"/>
          <w:i/>
          <w:sz w:val="24"/>
          <w:szCs w:val="24"/>
        </w:rPr>
        <w:t xml:space="preserve">rentabilizar e </w:t>
      </w:r>
      <w:r w:rsidRPr="00371296">
        <w:rPr>
          <w:rFonts w:ascii="Arial" w:hAnsi="Arial" w:cs="Arial"/>
          <w:i/>
          <w:sz w:val="24"/>
          <w:szCs w:val="24"/>
        </w:rPr>
        <w:t>potenciar os recursos humanos existentes e disponíveis nas escolas, para os quais já se investiu tanto na sua f</w:t>
      </w:r>
      <w:r w:rsidR="00371296">
        <w:rPr>
          <w:rFonts w:ascii="Arial" w:hAnsi="Arial" w:cs="Arial"/>
          <w:i/>
          <w:sz w:val="24"/>
          <w:szCs w:val="24"/>
        </w:rPr>
        <w:t>ormação científica e pedagógica;</w:t>
      </w:r>
    </w:p>
    <w:p w:rsidR="00371296" w:rsidRPr="00371296" w:rsidRDefault="00371296" w:rsidP="00371296">
      <w:pPr>
        <w:pStyle w:val="PargrafodaLista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6D740F" w:rsidRPr="00371296" w:rsidRDefault="00F30B44" w:rsidP="009E69B3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i/>
          <w:sz w:val="24"/>
          <w:szCs w:val="24"/>
        </w:rPr>
        <w:t xml:space="preserve">Também aos formadores deverá ser exigida a experiência profissional no ensino de adultos uma vez que se trata de um público com características específicas que requer uma atenção e capacidade de motivação diferenciadas, cuja aquisição só advém de uma experiência </w:t>
      </w:r>
      <w:r w:rsidRPr="00371296">
        <w:rPr>
          <w:rFonts w:ascii="Arial" w:hAnsi="Arial" w:cs="Arial"/>
          <w:sz w:val="24"/>
          <w:szCs w:val="24"/>
        </w:rPr>
        <w:t>in loco</w:t>
      </w:r>
      <w:r w:rsidR="006D740F" w:rsidRPr="00371296">
        <w:rPr>
          <w:rFonts w:ascii="Arial" w:hAnsi="Arial" w:cs="Arial"/>
          <w:sz w:val="24"/>
          <w:szCs w:val="24"/>
        </w:rPr>
        <w:t>;</w:t>
      </w:r>
    </w:p>
    <w:p w:rsidR="00371296" w:rsidRPr="00371296" w:rsidRDefault="00371296" w:rsidP="00371296">
      <w:pPr>
        <w:pStyle w:val="PargrafodaLista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F30B44" w:rsidRDefault="00F30B44" w:rsidP="009E69B3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sz w:val="24"/>
          <w:szCs w:val="24"/>
        </w:rPr>
        <w:t xml:space="preserve"> </w:t>
      </w:r>
      <w:r w:rsidRPr="00371296">
        <w:rPr>
          <w:rFonts w:ascii="Arial" w:hAnsi="Arial" w:cs="Arial"/>
          <w:i/>
          <w:sz w:val="24"/>
          <w:szCs w:val="24"/>
        </w:rPr>
        <w:t>A formação pedagógica na área tem de ser valorizada, não bastando apresentar as atuais 90 horas de formação necessárias à obtenção do certificado de competências pedagógica, para a aquisição de todas as aptidões essenciais a um bom processo ensino aprendizagem, pois as mesmas não contemplam nem a capacidade de desenvolvimento de atividades específicas, nem o conhecimento de instrumentos de avaliação adequados</w:t>
      </w:r>
      <w:r w:rsidR="006D740F" w:rsidRPr="00371296">
        <w:rPr>
          <w:rFonts w:ascii="Arial" w:hAnsi="Arial" w:cs="Arial"/>
          <w:i/>
          <w:sz w:val="24"/>
          <w:szCs w:val="24"/>
        </w:rPr>
        <w:t xml:space="preserve"> e</w:t>
      </w:r>
      <w:r w:rsidRPr="00371296">
        <w:rPr>
          <w:rFonts w:ascii="Arial" w:hAnsi="Arial" w:cs="Arial"/>
          <w:i/>
          <w:sz w:val="24"/>
          <w:szCs w:val="24"/>
        </w:rPr>
        <w:t xml:space="preserve"> essenciais à validação e certificação de competências;</w:t>
      </w:r>
    </w:p>
    <w:p w:rsidR="00371296" w:rsidRPr="00371296" w:rsidRDefault="00371296" w:rsidP="00371296">
      <w:pPr>
        <w:pStyle w:val="PargrafodaLista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F30B44" w:rsidRDefault="00F30B44" w:rsidP="009E69B3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i/>
          <w:sz w:val="24"/>
          <w:szCs w:val="24"/>
        </w:rPr>
        <w:t>O formador terá de ter preferencialmente uma qualificação de nível superior, ou de nível superior ao dos seus formandos, que lhe permita ter o conhecimento científico profundo e rigoroso, acres</w:t>
      </w:r>
      <w:r w:rsidR="009725B7" w:rsidRPr="00371296">
        <w:rPr>
          <w:rFonts w:ascii="Arial" w:hAnsi="Arial" w:cs="Arial"/>
          <w:i/>
          <w:sz w:val="24"/>
          <w:szCs w:val="24"/>
        </w:rPr>
        <w:t>cido à sua prática profissional;</w:t>
      </w:r>
    </w:p>
    <w:p w:rsidR="00371296" w:rsidRPr="00371296" w:rsidRDefault="00371296" w:rsidP="00371296">
      <w:pPr>
        <w:pStyle w:val="PargrafodaLista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371296" w:rsidRPr="00371296" w:rsidRDefault="007B6191" w:rsidP="00371296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i/>
          <w:sz w:val="24"/>
          <w:szCs w:val="24"/>
        </w:rPr>
        <w:t xml:space="preserve">Lamentavelmente, </w:t>
      </w:r>
      <w:r w:rsidR="006D740F" w:rsidRPr="00371296">
        <w:rPr>
          <w:rFonts w:ascii="Arial" w:hAnsi="Arial" w:cs="Arial"/>
          <w:i/>
          <w:sz w:val="24"/>
          <w:szCs w:val="24"/>
        </w:rPr>
        <w:t xml:space="preserve">o </w:t>
      </w:r>
      <w:proofErr w:type="spellStart"/>
      <w:r w:rsidR="00A75547" w:rsidRPr="00371296">
        <w:rPr>
          <w:rFonts w:ascii="Arial" w:hAnsi="Arial" w:cs="Arial"/>
          <w:i/>
          <w:sz w:val="24"/>
          <w:szCs w:val="24"/>
        </w:rPr>
        <w:t>art</w:t>
      </w:r>
      <w:proofErr w:type="spellEnd"/>
      <w:r w:rsidR="00A75547" w:rsidRPr="00371296">
        <w:rPr>
          <w:rFonts w:ascii="Arial" w:hAnsi="Arial" w:cs="Arial"/>
          <w:i/>
          <w:sz w:val="24"/>
          <w:szCs w:val="24"/>
        </w:rPr>
        <w:t xml:space="preserve">. 22, nº 3 da presente portaria </w:t>
      </w:r>
      <w:r w:rsidR="009E69B3" w:rsidRPr="00371296">
        <w:rPr>
          <w:rFonts w:ascii="Arial" w:hAnsi="Arial" w:cs="Arial"/>
          <w:i/>
          <w:sz w:val="24"/>
          <w:szCs w:val="24"/>
        </w:rPr>
        <w:t>prevê</w:t>
      </w:r>
      <w:r w:rsidR="009E69B3" w:rsidRPr="00371296">
        <w:rPr>
          <w:rFonts w:ascii="Arial" w:hAnsi="Arial" w:cs="Arial"/>
          <w:sz w:val="24"/>
          <w:szCs w:val="24"/>
        </w:rPr>
        <w:t xml:space="preserve"> </w:t>
      </w:r>
      <w:r w:rsidR="00A75547" w:rsidRPr="00371296">
        <w:rPr>
          <w:rFonts w:ascii="Arial" w:hAnsi="Arial" w:cs="Arial"/>
          <w:i/>
          <w:sz w:val="24"/>
          <w:szCs w:val="24"/>
        </w:rPr>
        <w:t xml:space="preserve">que a matriz da prova </w:t>
      </w:r>
      <w:r w:rsidR="006D740F" w:rsidRPr="00371296">
        <w:rPr>
          <w:rFonts w:ascii="Arial" w:hAnsi="Arial" w:cs="Arial"/>
          <w:i/>
          <w:sz w:val="24"/>
          <w:szCs w:val="24"/>
        </w:rPr>
        <w:t>seja</w:t>
      </w:r>
      <w:r w:rsidR="00A75547" w:rsidRPr="00371296">
        <w:rPr>
          <w:rFonts w:ascii="Arial" w:hAnsi="Arial" w:cs="Arial"/>
          <w:i/>
          <w:sz w:val="24"/>
          <w:szCs w:val="24"/>
        </w:rPr>
        <w:t xml:space="preserve"> da responsabilidade da equipa do CQEP</w:t>
      </w:r>
      <w:r w:rsidRPr="00371296">
        <w:rPr>
          <w:rFonts w:ascii="Arial" w:hAnsi="Arial" w:cs="Arial"/>
          <w:i/>
          <w:sz w:val="24"/>
          <w:szCs w:val="24"/>
        </w:rPr>
        <w:t>. Esta decisão causa grande estranheza, pois uma matriz de uma prova deverá ser elaborada sempre tendo em conta os domínios científico</w:t>
      </w:r>
      <w:r w:rsidR="00040954" w:rsidRPr="00371296">
        <w:rPr>
          <w:rFonts w:ascii="Arial" w:hAnsi="Arial" w:cs="Arial"/>
          <w:i/>
          <w:sz w:val="24"/>
          <w:szCs w:val="24"/>
        </w:rPr>
        <w:t xml:space="preserve"> e técnico</w:t>
      </w:r>
      <w:r w:rsidRPr="00371296">
        <w:rPr>
          <w:rFonts w:ascii="Arial" w:hAnsi="Arial" w:cs="Arial"/>
          <w:i/>
          <w:sz w:val="24"/>
          <w:szCs w:val="24"/>
        </w:rPr>
        <w:t>, mas também, um enquadramento pedagógico, ou seja, deverá</w:t>
      </w:r>
      <w:r w:rsidR="00040954" w:rsidRPr="00371296">
        <w:rPr>
          <w:rFonts w:ascii="Arial" w:hAnsi="Arial" w:cs="Arial"/>
          <w:i/>
          <w:sz w:val="24"/>
          <w:szCs w:val="24"/>
        </w:rPr>
        <w:t xml:space="preserve"> espelhar</w:t>
      </w:r>
      <w:r w:rsidR="00881A4C" w:rsidRPr="00371296">
        <w:rPr>
          <w:rFonts w:ascii="Arial" w:hAnsi="Arial" w:cs="Arial"/>
          <w:i/>
          <w:sz w:val="24"/>
          <w:szCs w:val="24"/>
        </w:rPr>
        <w:t xml:space="preserve">, como consagrado em decreto-lei, </w:t>
      </w:r>
      <w:r w:rsidR="008466FC" w:rsidRPr="00371296">
        <w:rPr>
          <w:rFonts w:ascii="Arial" w:hAnsi="Arial" w:cs="Arial"/>
          <w:i/>
          <w:sz w:val="24"/>
          <w:szCs w:val="24"/>
        </w:rPr>
        <w:t xml:space="preserve">as aprendizagens </w:t>
      </w:r>
      <w:r w:rsidR="00881A4C" w:rsidRPr="00371296">
        <w:rPr>
          <w:rFonts w:ascii="Arial" w:hAnsi="Arial" w:cs="Arial"/>
          <w:i/>
          <w:sz w:val="24"/>
          <w:szCs w:val="24"/>
        </w:rPr>
        <w:t>adquirid</w:t>
      </w:r>
      <w:r w:rsidR="008466FC" w:rsidRPr="00371296">
        <w:rPr>
          <w:rFonts w:ascii="Arial" w:hAnsi="Arial" w:cs="Arial"/>
          <w:i/>
          <w:sz w:val="24"/>
          <w:szCs w:val="24"/>
        </w:rPr>
        <w:t>a</w:t>
      </w:r>
      <w:r w:rsidR="00881A4C" w:rsidRPr="00371296">
        <w:rPr>
          <w:rFonts w:ascii="Arial" w:hAnsi="Arial" w:cs="Arial"/>
          <w:i/>
          <w:sz w:val="24"/>
          <w:szCs w:val="24"/>
        </w:rPr>
        <w:t>s e as capacidades desenvolvid</w:t>
      </w:r>
      <w:r w:rsidR="008466FC" w:rsidRPr="00371296">
        <w:rPr>
          <w:rFonts w:ascii="Arial" w:hAnsi="Arial" w:cs="Arial"/>
          <w:i/>
          <w:sz w:val="24"/>
          <w:szCs w:val="24"/>
        </w:rPr>
        <w:t>a</w:t>
      </w:r>
      <w:r w:rsidR="00881A4C" w:rsidRPr="00371296">
        <w:rPr>
          <w:rFonts w:ascii="Arial" w:hAnsi="Arial" w:cs="Arial"/>
          <w:i/>
          <w:sz w:val="24"/>
          <w:szCs w:val="24"/>
        </w:rPr>
        <w:t>s pelos alunos. Assim sendo, a avaliação na educação de alunos</w:t>
      </w:r>
      <w:r w:rsidR="00A67B38" w:rsidRPr="00371296">
        <w:rPr>
          <w:rFonts w:ascii="Arial" w:hAnsi="Arial" w:cs="Arial"/>
          <w:i/>
          <w:sz w:val="24"/>
          <w:szCs w:val="24"/>
        </w:rPr>
        <w:t>, enquanto</w:t>
      </w:r>
      <w:r w:rsidR="00881A4C" w:rsidRPr="00371296">
        <w:rPr>
          <w:rFonts w:ascii="Arial" w:hAnsi="Arial" w:cs="Arial"/>
          <w:i/>
          <w:sz w:val="24"/>
          <w:szCs w:val="24"/>
        </w:rPr>
        <w:t xml:space="preserve"> processo regulador</w:t>
      </w:r>
      <w:r w:rsidR="008466FC" w:rsidRPr="00371296">
        <w:rPr>
          <w:rFonts w:ascii="Arial" w:hAnsi="Arial" w:cs="Arial"/>
          <w:i/>
          <w:sz w:val="24"/>
          <w:szCs w:val="24"/>
        </w:rPr>
        <w:t>, não poderá</w:t>
      </w:r>
      <w:r w:rsidR="00881A4C" w:rsidRPr="00371296">
        <w:rPr>
          <w:rFonts w:ascii="Arial" w:hAnsi="Arial" w:cs="Arial"/>
          <w:i/>
          <w:sz w:val="24"/>
          <w:szCs w:val="24"/>
        </w:rPr>
        <w:t xml:space="preserve"> descur</w:t>
      </w:r>
      <w:r w:rsidR="008466FC" w:rsidRPr="00371296">
        <w:rPr>
          <w:rFonts w:ascii="Arial" w:hAnsi="Arial" w:cs="Arial"/>
          <w:i/>
          <w:sz w:val="24"/>
          <w:szCs w:val="24"/>
        </w:rPr>
        <w:t>ar</w:t>
      </w:r>
      <w:r w:rsidR="00881A4C" w:rsidRPr="00371296">
        <w:rPr>
          <w:rFonts w:ascii="Arial" w:hAnsi="Arial" w:cs="Arial"/>
          <w:i/>
          <w:sz w:val="24"/>
          <w:szCs w:val="24"/>
        </w:rPr>
        <w:t xml:space="preserve"> a </w:t>
      </w:r>
      <w:r w:rsidR="00A67B38" w:rsidRPr="00371296">
        <w:rPr>
          <w:rFonts w:ascii="Arial" w:hAnsi="Arial" w:cs="Arial"/>
          <w:i/>
          <w:sz w:val="24"/>
          <w:szCs w:val="24"/>
        </w:rPr>
        <w:t xml:space="preserve">diversidade de percursos na </w:t>
      </w:r>
      <w:r w:rsidR="00881A4C" w:rsidRPr="00371296">
        <w:rPr>
          <w:rFonts w:ascii="Arial" w:hAnsi="Arial" w:cs="Arial"/>
          <w:i/>
          <w:sz w:val="24"/>
          <w:szCs w:val="24"/>
        </w:rPr>
        <w:t>formação inicial do adulto</w:t>
      </w:r>
      <w:r w:rsidR="008466FC" w:rsidRPr="00371296">
        <w:rPr>
          <w:rFonts w:ascii="Arial" w:hAnsi="Arial" w:cs="Arial"/>
          <w:i/>
          <w:sz w:val="24"/>
          <w:szCs w:val="24"/>
        </w:rPr>
        <w:t xml:space="preserve">, </w:t>
      </w:r>
      <w:r w:rsidR="00A67B38" w:rsidRPr="00371296">
        <w:rPr>
          <w:rFonts w:ascii="Arial" w:hAnsi="Arial" w:cs="Arial"/>
          <w:i/>
          <w:sz w:val="24"/>
          <w:szCs w:val="24"/>
        </w:rPr>
        <w:t xml:space="preserve">o processo de ensino </w:t>
      </w:r>
      <w:r w:rsidR="008466FC" w:rsidRPr="00371296">
        <w:rPr>
          <w:rFonts w:ascii="Arial" w:hAnsi="Arial" w:cs="Arial"/>
          <w:i/>
          <w:sz w:val="24"/>
          <w:szCs w:val="24"/>
        </w:rPr>
        <w:t>aprendizagem e a aquisição de métodos de trabalho e de estudo, para que</w:t>
      </w:r>
      <w:r w:rsidR="00A67B38" w:rsidRPr="00371296">
        <w:rPr>
          <w:rFonts w:ascii="Arial" w:hAnsi="Arial" w:cs="Arial"/>
          <w:i/>
          <w:sz w:val="24"/>
          <w:szCs w:val="24"/>
        </w:rPr>
        <w:t>,</w:t>
      </w:r>
      <w:r w:rsidR="008466FC" w:rsidRPr="00371296">
        <w:rPr>
          <w:rFonts w:ascii="Arial" w:hAnsi="Arial" w:cs="Arial"/>
          <w:i/>
          <w:sz w:val="24"/>
          <w:szCs w:val="24"/>
        </w:rPr>
        <w:t xml:space="preserve"> </w:t>
      </w:r>
      <w:r w:rsidR="00A67B38" w:rsidRPr="00371296">
        <w:rPr>
          <w:rFonts w:ascii="Arial" w:hAnsi="Arial" w:cs="Arial"/>
          <w:i/>
          <w:sz w:val="24"/>
          <w:szCs w:val="24"/>
        </w:rPr>
        <w:t>legitimamente</w:t>
      </w:r>
      <w:proofErr w:type="gramStart"/>
      <w:r w:rsidR="00153ABC">
        <w:rPr>
          <w:rFonts w:ascii="Arial" w:hAnsi="Arial" w:cs="Arial"/>
          <w:i/>
          <w:sz w:val="24"/>
          <w:szCs w:val="24"/>
        </w:rPr>
        <w:t>,</w:t>
      </w:r>
      <w:proofErr w:type="gramEnd"/>
      <w:r w:rsidR="00A67B38" w:rsidRPr="00371296">
        <w:rPr>
          <w:rFonts w:ascii="Arial" w:hAnsi="Arial" w:cs="Arial"/>
          <w:i/>
          <w:sz w:val="24"/>
          <w:szCs w:val="24"/>
        </w:rPr>
        <w:t xml:space="preserve"> possa afe</w:t>
      </w:r>
      <w:r w:rsidR="008466FC" w:rsidRPr="00371296">
        <w:rPr>
          <w:rFonts w:ascii="Arial" w:hAnsi="Arial" w:cs="Arial"/>
          <w:i/>
          <w:sz w:val="24"/>
          <w:szCs w:val="24"/>
        </w:rPr>
        <w:t>r</w:t>
      </w:r>
      <w:r w:rsidR="00A67B38" w:rsidRPr="00371296">
        <w:rPr>
          <w:rFonts w:ascii="Arial" w:hAnsi="Arial" w:cs="Arial"/>
          <w:i/>
          <w:sz w:val="24"/>
          <w:szCs w:val="24"/>
        </w:rPr>
        <w:t>ir</w:t>
      </w:r>
      <w:r w:rsidR="008466FC" w:rsidRPr="00371296">
        <w:rPr>
          <w:rFonts w:ascii="Arial" w:hAnsi="Arial" w:cs="Arial"/>
          <w:i/>
          <w:sz w:val="24"/>
          <w:szCs w:val="24"/>
        </w:rPr>
        <w:t xml:space="preserve"> os conhecimentos </w:t>
      </w:r>
      <w:r w:rsidR="00881A4C" w:rsidRPr="00371296">
        <w:rPr>
          <w:rFonts w:ascii="Arial" w:hAnsi="Arial" w:cs="Arial"/>
          <w:i/>
          <w:sz w:val="24"/>
          <w:szCs w:val="24"/>
        </w:rPr>
        <w:t>a</w:t>
      </w:r>
      <w:r w:rsidR="00A67B38" w:rsidRPr="00371296">
        <w:rPr>
          <w:rFonts w:ascii="Arial" w:hAnsi="Arial" w:cs="Arial"/>
          <w:i/>
          <w:sz w:val="24"/>
          <w:szCs w:val="24"/>
        </w:rPr>
        <w:t xml:space="preserve">dquiridos e ser um fiel indicador da consecução dos objetivos pretendidos. </w:t>
      </w:r>
    </w:p>
    <w:p w:rsidR="00A75547" w:rsidRPr="00371296" w:rsidRDefault="00371296" w:rsidP="00371296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71296">
        <w:rPr>
          <w:rFonts w:ascii="Arial" w:hAnsi="Arial" w:cs="Arial"/>
          <w:i/>
          <w:sz w:val="24"/>
          <w:szCs w:val="24"/>
        </w:rPr>
        <w:t>No seguimento deste artigo, entende-se que</w:t>
      </w:r>
      <w:r w:rsidRPr="00371296">
        <w:rPr>
          <w:rFonts w:ascii="Arial" w:hAnsi="Arial" w:cs="Arial"/>
          <w:sz w:val="24"/>
          <w:szCs w:val="24"/>
        </w:rPr>
        <w:t xml:space="preserve"> </w:t>
      </w:r>
      <w:r w:rsidR="00A75547" w:rsidRPr="00371296">
        <w:rPr>
          <w:rFonts w:ascii="Arial" w:hAnsi="Arial" w:cs="Arial"/>
          <w:i/>
          <w:sz w:val="24"/>
          <w:szCs w:val="24"/>
        </w:rPr>
        <w:t>nem o coordenador, nem o técnico de ORVC de acordo com os artigos respetivamente 11.º e 12.º, têm nas suas funções, competências definidas para a realização</w:t>
      </w:r>
      <w:r w:rsidRPr="00371296">
        <w:rPr>
          <w:rFonts w:ascii="Arial" w:hAnsi="Arial" w:cs="Arial"/>
          <w:i/>
          <w:sz w:val="24"/>
          <w:szCs w:val="24"/>
        </w:rPr>
        <w:t xml:space="preserve"> da prova;</w:t>
      </w:r>
      <w:r w:rsidR="00A75547" w:rsidRPr="00371296">
        <w:rPr>
          <w:rFonts w:ascii="Arial" w:hAnsi="Arial" w:cs="Arial"/>
          <w:i/>
          <w:sz w:val="24"/>
          <w:szCs w:val="24"/>
        </w:rPr>
        <w:t xml:space="preserve"> a mesma terá então de ser elaborada pela equipa técnico-pedagógica</w:t>
      </w:r>
      <w:r w:rsidR="006D740F" w:rsidRPr="00371296">
        <w:rPr>
          <w:rFonts w:ascii="Arial" w:hAnsi="Arial" w:cs="Arial"/>
          <w:i/>
          <w:sz w:val="24"/>
          <w:szCs w:val="24"/>
        </w:rPr>
        <w:t>.</w:t>
      </w:r>
      <w:r w:rsidR="00A75547" w:rsidRPr="00371296">
        <w:rPr>
          <w:rFonts w:ascii="Arial" w:hAnsi="Arial" w:cs="Arial"/>
          <w:i/>
          <w:sz w:val="24"/>
          <w:szCs w:val="24"/>
        </w:rPr>
        <w:t xml:space="preserve"> Esta competência só é detentora de quem possui formação e experiência pedagógicas na conceção dos instrumentos de registo necessários à prossecução dos objetivos que se pretendem com a formação e educação de adultos</w:t>
      </w:r>
      <w:r w:rsidR="006D740F" w:rsidRPr="00371296">
        <w:rPr>
          <w:rFonts w:ascii="Arial" w:hAnsi="Arial" w:cs="Arial"/>
          <w:i/>
          <w:sz w:val="24"/>
          <w:szCs w:val="24"/>
        </w:rPr>
        <w:t xml:space="preserve">. </w:t>
      </w:r>
    </w:p>
    <w:p w:rsidR="00A75547" w:rsidRPr="009E69B3" w:rsidRDefault="0055610E" w:rsidP="009E69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69B3">
        <w:rPr>
          <w:rFonts w:ascii="Arial" w:hAnsi="Arial" w:cs="Arial"/>
          <w:sz w:val="24"/>
          <w:szCs w:val="24"/>
        </w:rPr>
        <w:lastRenderedPageBreak/>
        <w:t>A educação de adultos tem sido objeto de interesse, estudo e de análise desde</w:t>
      </w:r>
      <w:r w:rsidR="00371296">
        <w:rPr>
          <w:rFonts w:ascii="Arial" w:hAnsi="Arial" w:cs="Arial"/>
          <w:sz w:val="24"/>
          <w:szCs w:val="24"/>
        </w:rPr>
        <w:t xml:space="preserve"> </w:t>
      </w:r>
      <w:r w:rsidRPr="009E69B3">
        <w:rPr>
          <w:rFonts w:ascii="Arial" w:hAnsi="Arial" w:cs="Arial"/>
          <w:sz w:val="24"/>
          <w:szCs w:val="24"/>
        </w:rPr>
        <w:t>meados do século passado, por variadíssimas instituições, entre as quais a UNESCO que periodicamente realiza conferências e estudos. O denominador comum em todas as sínteses é perentório em demonstrar que a educação e a formação de adultos é um motor de desenvolvimento económico, cultural e social.</w:t>
      </w:r>
    </w:p>
    <w:p w:rsidR="00FA04CB" w:rsidRPr="009E69B3" w:rsidRDefault="00136166" w:rsidP="009E69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69B3">
        <w:rPr>
          <w:rFonts w:ascii="Arial" w:hAnsi="Arial" w:cs="Arial"/>
          <w:sz w:val="24"/>
          <w:szCs w:val="24"/>
        </w:rPr>
        <w:t>A educação de adultos é uma área com idiossincrasias próprias, em que ao professor é atribuído um duplo papel de educador e educando, em que o professor</w:t>
      </w:r>
      <w:r w:rsidR="009E69B3">
        <w:rPr>
          <w:rFonts w:ascii="Arial" w:hAnsi="Arial" w:cs="Arial"/>
          <w:sz w:val="24"/>
          <w:szCs w:val="24"/>
        </w:rPr>
        <w:t>,</w:t>
      </w:r>
      <w:r w:rsidRPr="009E69B3">
        <w:rPr>
          <w:rFonts w:ascii="Arial" w:hAnsi="Arial" w:cs="Arial"/>
          <w:sz w:val="24"/>
          <w:szCs w:val="24"/>
        </w:rPr>
        <w:t xml:space="preserve"> muitas vezes</w:t>
      </w:r>
      <w:r w:rsidR="009E69B3">
        <w:rPr>
          <w:rFonts w:ascii="Arial" w:hAnsi="Arial" w:cs="Arial"/>
          <w:sz w:val="24"/>
          <w:szCs w:val="24"/>
        </w:rPr>
        <w:t>,</w:t>
      </w:r>
      <w:r w:rsidRPr="009E69B3">
        <w:rPr>
          <w:rFonts w:ascii="Arial" w:hAnsi="Arial" w:cs="Arial"/>
          <w:sz w:val="24"/>
          <w:szCs w:val="24"/>
        </w:rPr>
        <w:t xml:space="preserve"> tem de saber desempenhar a função de orientador e avaliador, em que o aspeto social da aprendizagem é determinante para o sucesso. </w:t>
      </w:r>
      <w:r w:rsidR="009E69B3">
        <w:rPr>
          <w:rFonts w:ascii="Arial" w:hAnsi="Arial" w:cs="Arial"/>
          <w:sz w:val="24"/>
          <w:szCs w:val="24"/>
        </w:rPr>
        <w:t>A</w:t>
      </w:r>
      <w:r w:rsidR="00FA04CB" w:rsidRPr="009E69B3">
        <w:rPr>
          <w:rFonts w:ascii="Arial" w:hAnsi="Arial" w:cs="Arial"/>
          <w:sz w:val="24"/>
          <w:szCs w:val="24"/>
        </w:rPr>
        <w:t xml:space="preserve"> educação deve ser entendida como um processo global onde se congrega o saber adquirido com a experiência acumulada. Pensar a educação para adultos é pensar de uma forma integradora e não complementar, em que o conteúdo dessa formação deve estar vinculado ao contexto histórico-social e existencial da pessoa de modo a prepará-la para um novo modo de pensar e sentir dentro de uma relação constante com a comunidade.      </w:t>
      </w:r>
    </w:p>
    <w:p w:rsidR="004419CB" w:rsidRDefault="00136166" w:rsidP="009E69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69B3">
        <w:rPr>
          <w:rFonts w:ascii="Arial" w:hAnsi="Arial" w:cs="Arial"/>
          <w:sz w:val="24"/>
          <w:szCs w:val="24"/>
        </w:rPr>
        <w:t xml:space="preserve">Urge, pois, </w:t>
      </w:r>
      <w:r w:rsidR="00FA04CB" w:rsidRPr="009E69B3">
        <w:rPr>
          <w:rFonts w:ascii="Arial" w:hAnsi="Arial" w:cs="Arial"/>
          <w:sz w:val="24"/>
          <w:szCs w:val="24"/>
        </w:rPr>
        <w:t xml:space="preserve">independentemente da diversidade de políticas económicas e educativas, </w:t>
      </w:r>
      <w:r w:rsidRPr="009E69B3">
        <w:rPr>
          <w:rFonts w:ascii="Arial" w:hAnsi="Arial" w:cs="Arial"/>
          <w:sz w:val="24"/>
          <w:szCs w:val="24"/>
        </w:rPr>
        <w:t>que a</w:t>
      </w:r>
      <w:r w:rsidR="00FA04CB" w:rsidRPr="009E69B3">
        <w:rPr>
          <w:rFonts w:ascii="Arial" w:hAnsi="Arial" w:cs="Arial"/>
          <w:sz w:val="24"/>
          <w:szCs w:val="24"/>
        </w:rPr>
        <w:t>s recomendações das Conferências da UNESCO produzam um real impacto e que a educação de adultos tenha um enquadramento legal que privile</w:t>
      </w:r>
      <w:r w:rsidR="009E69B3">
        <w:rPr>
          <w:rFonts w:ascii="Arial" w:hAnsi="Arial" w:cs="Arial"/>
          <w:sz w:val="24"/>
          <w:szCs w:val="24"/>
        </w:rPr>
        <w:t>gie</w:t>
      </w:r>
      <w:r w:rsidR="00FA04CB" w:rsidRPr="009E69B3">
        <w:rPr>
          <w:rFonts w:ascii="Arial" w:hAnsi="Arial" w:cs="Arial"/>
          <w:sz w:val="24"/>
          <w:szCs w:val="24"/>
        </w:rPr>
        <w:t xml:space="preserve"> o conhecimento científico e a formação pedagógica certif</w:t>
      </w:r>
      <w:r w:rsidR="009E69B3">
        <w:rPr>
          <w:rFonts w:ascii="Arial" w:hAnsi="Arial" w:cs="Arial"/>
          <w:sz w:val="24"/>
          <w:szCs w:val="24"/>
        </w:rPr>
        <w:t>icada de forma séria</w:t>
      </w:r>
      <w:r w:rsidR="00371296">
        <w:rPr>
          <w:rFonts w:ascii="Arial" w:hAnsi="Arial" w:cs="Arial"/>
          <w:sz w:val="24"/>
          <w:szCs w:val="24"/>
        </w:rPr>
        <w:t>,</w:t>
      </w:r>
      <w:r w:rsidR="009E69B3">
        <w:rPr>
          <w:rFonts w:ascii="Arial" w:hAnsi="Arial" w:cs="Arial"/>
          <w:sz w:val="24"/>
          <w:szCs w:val="24"/>
        </w:rPr>
        <w:t xml:space="preserve"> credível e sempre</w:t>
      </w:r>
      <w:r w:rsidR="00FA04CB" w:rsidRPr="009E69B3">
        <w:rPr>
          <w:rFonts w:ascii="Arial" w:hAnsi="Arial" w:cs="Arial"/>
          <w:sz w:val="24"/>
          <w:szCs w:val="24"/>
        </w:rPr>
        <w:t xml:space="preserve"> assente em critérios de inquestionável rigor</w:t>
      </w:r>
      <w:r w:rsidR="009E69B3">
        <w:rPr>
          <w:rFonts w:ascii="Arial" w:hAnsi="Arial" w:cs="Arial"/>
          <w:sz w:val="24"/>
          <w:szCs w:val="24"/>
        </w:rPr>
        <w:t>.</w:t>
      </w:r>
      <w:r w:rsidR="00FA04CB" w:rsidRPr="009E69B3">
        <w:rPr>
          <w:rFonts w:ascii="Arial" w:hAnsi="Arial" w:cs="Arial"/>
          <w:sz w:val="24"/>
          <w:szCs w:val="24"/>
        </w:rPr>
        <w:t xml:space="preserve"> </w:t>
      </w:r>
      <w:r w:rsidR="00D77C99">
        <w:rPr>
          <w:rFonts w:ascii="Arial" w:hAnsi="Arial" w:cs="Arial"/>
          <w:sz w:val="24"/>
          <w:szCs w:val="24"/>
        </w:rPr>
        <w:t xml:space="preserve">Estas exigências não se compadecem </w:t>
      </w:r>
      <w:r w:rsidR="00371296">
        <w:rPr>
          <w:rFonts w:ascii="Arial" w:hAnsi="Arial" w:cs="Arial"/>
          <w:sz w:val="24"/>
          <w:szCs w:val="24"/>
        </w:rPr>
        <w:t>com experimentalismos, estando ú</w:t>
      </w:r>
      <w:r w:rsidR="00D77C99">
        <w:rPr>
          <w:rFonts w:ascii="Arial" w:hAnsi="Arial" w:cs="Arial"/>
          <w:sz w:val="24"/>
          <w:szCs w:val="24"/>
        </w:rPr>
        <w:t>nica e</w:t>
      </w:r>
      <w:r w:rsidR="00371296">
        <w:rPr>
          <w:rFonts w:ascii="Arial" w:hAnsi="Arial" w:cs="Arial"/>
          <w:sz w:val="24"/>
          <w:szCs w:val="24"/>
        </w:rPr>
        <w:t xml:space="preserve"> indubitavelmente</w:t>
      </w:r>
      <w:r w:rsidR="00D77C99">
        <w:rPr>
          <w:rFonts w:ascii="Arial" w:hAnsi="Arial" w:cs="Arial"/>
          <w:sz w:val="24"/>
          <w:szCs w:val="24"/>
        </w:rPr>
        <w:t xml:space="preserve">, </w:t>
      </w:r>
      <w:r w:rsidR="00D77C99" w:rsidRPr="00371296">
        <w:rPr>
          <w:rFonts w:ascii="Arial" w:hAnsi="Arial" w:cs="Arial"/>
          <w:b/>
          <w:sz w:val="24"/>
          <w:szCs w:val="24"/>
        </w:rPr>
        <w:t>o pessoal docente com formação pedagógica</w:t>
      </w:r>
      <w:r w:rsidR="00D77C99">
        <w:rPr>
          <w:rFonts w:ascii="Arial" w:hAnsi="Arial" w:cs="Arial"/>
          <w:sz w:val="24"/>
          <w:szCs w:val="24"/>
        </w:rPr>
        <w:t xml:space="preserve"> cabalmente preparado e capacitado para continuar a implementar uma educação que se estenda para a vida adulta assegurando a qualidade e o sucesso.   </w:t>
      </w:r>
      <w:r w:rsidR="00FA04CB" w:rsidRPr="009E69B3">
        <w:rPr>
          <w:rFonts w:ascii="Arial" w:hAnsi="Arial" w:cs="Arial"/>
          <w:sz w:val="24"/>
          <w:szCs w:val="24"/>
        </w:rPr>
        <w:t xml:space="preserve">  </w:t>
      </w:r>
      <w:r w:rsidRPr="009E69B3">
        <w:rPr>
          <w:rFonts w:ascii="Arial" w:hAnsi="Arial" w:cs="Arial"/>
          <w:sz w:val="24"/>
          <w:szCs w:val="24"/>
        </w:rPr>
        <w:t xml:space="preserve">  </w:t>
      </w:r>
    </w:p>
    <w:p w:rsidR="00327945" w:rsidRPr="00327945" w:rsidRDefault="00327945" w:rsidP="003279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Face ao exposto, em anexo seguem as alterações que elaborámos à proposta da portaria </w:t>
      </w:r>
      <w:r w:rsidRPr="00327945">
        <w:rPr>
          <w:rFonts w:ascii="Arial" w:hAnsi="Arial" w:cs="Arial"/>
          <w:sz w:val="24"/>
          <w:szCs w:val="24"/>
        </w:rPr>
        <w:t>que cria os centros para a qualificação e o ensino profissional e extingue os centros novas oportunidades.</w:t>
      </w:r>
    </w:p>
    <w:p w:rsidR="00A82144" w:rsidRDefault="00327945" w:rsidP="009E69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 s</w:t>
      </w:r>
      <w:r w:rsidR="00A82144">
        <w:rPr>
          <w:rFonts w:ascii="Arial" w:hAnsi="Arial" w:cs="Arial"/>
          <w:sz w:val="24"/>
          <w:szCs w:val="24"/>
        </w:rPr>
        <w:t>ubscrevemo</w:t>
      </w:r>
      <w:r w:rsidR="00017AFF">
        <w:rPr>
          <w:rFonts w:ascii="Arial" w:hAnsi="Arial" w:cs="Arial"/>
          <w:sz w:val="24"/>
          <w:szCs w:val="24"/>
        </w:rPr>
        <w:t>-no</w:t>
      </w:r>
      <w:r>
        <w:rPr>
          <w:rFonts w:ascii="Arial" w:hAnsi="Arial" w:cs="Arial"/>
          <w:sz w:val="24"/>
          <w:szCs w:val="24"/>
        </w:rPr>
        <w:t>s</w:t>
      </w:r>
      <w:r w:rsidR="00A82144">
        <w:rPr>
          <w:rFonts w:ascii="Arial" w:hAnsi="Arial" w:cs="Arial"/>
          <w:sz w:val="24"/>
          <w:szCs w:val="24"/>
        </w:rPr>
        <w:t>,</w:t>
      </w:r>
    </w:p>
    <w:p w:rsidR="00A82144" w:rsidRDefault="00A82144" w:rsidP="009E69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Professores no exercício da cidadania</w:t>
      </w:r>
    </w:p>
    <w:p w:rsidR="00153ABC" w:rsidRDefault="00153ABC" w:rsidP="009E69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7945" w:rsidRPr="007C1A1F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b/>
          <w:sz w:val="24"/>
          <w:szCs w:val="24"/>
        </w:rPr>
      </w:pPr>
      <w:r w:rsidRPr="007C1A1F">
        <w:rPr>
          <w:b/>
          <w:sz w:val="24"/>
          <w:szCs w:val="24"/>
        </w:rPr>
        <w:t xml:space="preserve">PROPOSTA DE ALTERAÇÃO À PORTARIA QUE </w:t>
      </w:r>
      <w:r w:rsidRPr="007C1A1F">
        <w:rPr>
          <w:rFonts w:cs="Trebuchet MS"/>
          <w:b/>
          <w:sz w:val="24"/>
          <w:szCs w:val="24"/>
        </w:rPr>
        <w:t>CRIA OS CENTROS PARA A QUALIFICAÇÃO E O ENSINO PROFISSIONAL E EXTINGUE OS CENTROS NOVAS OPORTUNIDADES.</w:t>
      </w:r>
    </w:p>
    <w:p w:rsidR="00327945" w:rsidRPr="003D4A3B" w:rsidRDefault="00327945" w:rsidP="00327945">
      <w:pPr>
        <w:autoSpaceDE w:val="0"/>
        <w:autoSpaceDN w:val="0"/>
        <w:adjustRightInd w:val="0"/>
        <w:spacing w:after="0" w:line="240" w:lineRule="auto"/>
        <w:jc w:val="center"/>
        <w:rPr>
          <w:rFonts w:cs="Trebuchet MS"/>
          <w:sz w:val="24"/>
          <w:szCs w:val="24"/>
        </w:rPr>
      </w:pPr>
    </w:p>
    <w:p w:rsidR="00327945" w:rsidRPr="003D4A3B" w:rsidRDefault="00327945" w:rsidP="00327945">
      <w:pPr>
        <w:autoSpaceDE w:val="0"/>
        <w:autoSpaceDN w:val="0"/>
        <w:adjustRightInd w:val="0"/>
        <w:spacing w:after="0" w:line="240" w:lineRule="auto"/>
        <w:rPr>
          <w:rFonts w:cs="Trebuchet MS,Bold"/>
          <w:b/>
          <w:bCs/>
          <w:sz w:val="24"/>
          <w:szCs w:val="24"/>
        </w:rPr>
      </w:pPr>
      <w:r w:rsidRPr="003D4A3B">
        <w:rPr>
          <w:rFonts w:cs="Trebuchet MS,Bold"/>
          <w:b/>
          <w:bCs/>
          <w:sz w:val="24"/>
          <w:szCs w:val="24"/>
        </w:rPr>
        <w:t>Artigo 13.º</w:t>
      </w:r>
    </w:p>
    <w:p w:rsidR="00327945" w:rsidRPr="003D4A3B" w:rsidRDefault="00327945" w:rsidP="00327945">
      <w:pPr>
        <w:autoSpaceDE w:val="0"/>
        <w:autoSpaceDN w:val="0"/>
        <w:adjustRightInd w:val="0"/>
        <w:spacing w:after="0" w:line="240" w:lineRule="auto"/>
        <w:rPr>
          <w:rFonts w:cs="Trebuchet MS,Bold"/>
          <w:b/>
          <w:bCs/>
          <w:sz w:val="24"/>
          <w:szCs w:val="24"/>
        </w:rPr>
      </w:pPr>
      <w:r w:rsidRPr="003D4A3B">
        <w:rPr>
          <w:rFonts w:cs="Trebuchet MS,Bold"/>
          <w:b/>
          <w:bCs/>
          <w:sz w:val="24"/>
          <w:szCs w:val="24"/>
        </w:rPr>
        <w:t>Formadores e professores</w:t>
      </w:r>
    </w:p>
    <w:p w:rsidR="00327945" w:rsidRPr="003D4A3B" w:rsidRDefault="00327945" w:rsidP="00327945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3D4A3B">
        <w:rPr>
          <w:rFonts w:cs="Trebuchet MS"/>
          <w:sz w:val="24"/>
          <w:szCs w:val="24"/>
        </w:rPr>
        <w:t>1. (…).</w:t>
      </w:r>
    </w:p>
    <w:p w:rsidR="00327945" w:rsidRPr="003D4A3B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 w:rsidRPr="003D4A3B">
        <w:rPr>
          <w:rFonts w:cs="Trebuchet MS"/>
          <w:sz w:val="24"/>
          <w:szCs w:val="24"/>
        </w:rPr>
        <w:t>2. Compete aos formadores e professores referidos no número anterior e no âmbito das intervenções dos CQEP:</w:t>
      </w:r>
    </w:p>
    <w:p w:rsidR="00327945" w:rsidRPr="003D4A3B" w:rsidRDefault="00327945" w:rsidP="0075485F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 w:rsidRPr="003D4A3B">
        <w:rPr>
          <w:rFonts w:cs="Trebuchet MS"/>
          <w:sz w:val="24"/>
          <w:szCs w:val="24"/>
        </w:rPr>
        <w:t xml:space="preserve">a) </w:t>
      </w:r>
      <w:r w:rsidR="0075485F">
        <w:rPr>
          <w:rFonts w:cs="Trebuchet MS"/>
          <w:sz w:val="24"/>
          <w:szCs w:val="24"/>
        </w:rPr>
        <w:t>(…)</w:t>
      </w:r>
    </w:p>
    <w:p w:rsidR="00327945" w:rsidRPr="00327945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b/>
          <w:sz w:val="24"/>
          <w:szCs w:val="24"/>
        </w:rPr>
      </w:pPr>
      <w:r w:rsidRPr="003D4A3B">
        <w:rPr>
          <w:rFonts w:cs="Trebuchet MS"/>
          <w:sz w:val="24"/>
          <w:szCs w:val="24"/>
        </w:rPr>
        <w:t xml:space="preserve">c) Exercer a função de avaliador, no âmbito do júri de certificação, designadamente nas provas de desempenho ou de demonstração de competências-chave, relativas às qualificações visadas pelos adultos que desenvolveram processos de RVCC acompanhados por outros formadores </w:t>
      </w:r>
      <w:r w:rsidRPr="00327945">
        <w:rPr>
          <w:rFonts w:cs="Trebuchet MS"/>
          <w:b/>
          <w:sz w:val="24"/>
          <w:szCs w:val="24"/>
          <w:highlight w:val="lightGray"/>
        </w:rPr>
        <w:t>e/</w:t>
      </w:r>
      <w:r w:rsidRPr="00327945">
        <w:rPr>
          <w:rFonts w:cs="Trebuchet MS"/>
          <w:b/>
          <w:sz w:val="24"/>
          <w:szCs w:val="24"/>
          <w:highlight w:val="lightGray"/>
          <w:shd w:val="clear" w:color="auto" w:fill="D9D9D9"/>
        </w:rPr>
        <w:t>ou professores</w:t>
      </w:r>
      <w:r w:rsidR="00FB4EC8">
        <w:rPr>
          <w:rFonts w:cs="Trebuchet MS"/>
          <w:b/>
          <w:sz w:val="24"/>
          <w:szCs w:val="24"/>
          <w:shd w:val="clear" w:color="auto" w:fill="D9D9D9"/>
        </w:rPr>
        <w:t>.</w:t>
      </w:r>
    </w:p>
    <w:p w:rsidR="00327945" w:rsidRPr="003D4A3B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 w:rsidRPr="003D4A3B">
        <w:rPr>
          <w:rFonts w:cs="Trebuchet MS"/>
          <w:sz w:val="24"/>
          <w:szCs w:val="24"/>
        </w:rPr>
        <w:t xml:space="preserve">d) </w:t>
      </w:r>
      <w:r w:rsidR="0075485F">
        <w:rPr>
          <w:rFonts w:cs="Trebuchet MS"/>
          <w:sz w:val="24"/>
          <w:szCs w:val="24"/>
        </w:rPr>
        <w:t>(…)</w:t>
      </w:r>
    </w:p>
    <w:p w:rsidR="00327945" w:rsidRPr="003D4A3B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 w:rsidRPr="003D4A3B">
        <w:rPr>
          <w:rFonts w:cs="Trebuchet MS"/>
          <w:sz w:val="24"/>
          <w:szCs w:val="24"/>
        </w:rPr>
        <w:t>3. Os formadores ou professores devem reunir as seguintes condições, de acordo com a vertente do processo de RVCC em que participam:</w:t>
      </w:r>
    </w:p>
    <w:p w:rsidR="00327945" w:rsidRPr="003D4A3B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 w:rsidRPr="003D4A3B">
        <w:rPr>
          <w:rFonts w:cs="Trebuchet MS"/>
          <w:sz w:val="24"/>
          <w:szCs w:val="24"/>
        </w:rPr>
        <w:t xml:space="preserve">a) </w:t>
      </w:r>
      <w:r w:rsidR="00F96B0F">
        <w:rPr>
          <w:rFonts w:cs="Trebuchet MS"/>
          <w:sz w:val="24"/>
          <w:szCs w:val="24"/>
        </w:rPr>
        <w:t>(…)</w:t>
      </w:r>
    </w:p>
    <w:p w:rsidR="00327945" w:rsidRPr="00707F92" w:rsidRDefault="00327945" w:rsidP="00327945">
      <w:pPr>
        <w:shd w:val="clear" w:color="auto" w:fill="D9D9D9"/>
        <w:spacing w:after="0" w:line="240" w:lineRule="auto"/>
        <w:rPr>
          <w:rFonts w:eastAsia="Times New Roman"/>
          <w:b/>
          <w:color w:val="222222"/>
          <w:sz w:val="24"/>
          <w:szCs w:val="24"/>
          <w:lang w:eastAsia="pt-PT"/>
        </w:rPr>
      </w:pPr>
      <w:r w:rsidRPr="00707F92">
        <w:rPr>
          <w:rFonts w:eastAsia="Times New Roman"/>
          <w:b/>
          <w:color w:val="222222"/>
          <w:sz w:val="24"/>
          <w:szCs w:val="24"/>
          <w:lang w:eastAsia="pt-PT"/>
        </w:rPr>
        <w:t>b) Profissional:</w:t>
      </w:r>
    </w:p>
    <w:p w:rsidR="00327945" w:rsidRPr="00707F92" w:rsidRDefault="00327945" w:rsidP="00327945">
      <w:pPr>
        <w:shd w:val="clear" w:color="auto" w:fill="D9D9D9"/>
        <w:spacing w:after="0" w:line="240" w:lineRule="auto"/>
        <w:jc w:val="both"/>
        <w:rPr>
          <w:rFonts w:eastAsia="Times New Roman"/>
          <w:b/>
          <w:color w:val="222222"/>
          <w:sz w:val="24"/>
          <w:szCs w:val="24"/>
          <w:lang w:eastAsia="pt-PT"/>
        </w:rPr>
      </w:pPr>
      <w:proofErr w:type="gramStart"/>
      <w:r w:rsidRPr="00707F92">
        <w:rPr>
          <w:rFonts w:eastAsia="Times New Roman"/>
          <w:b/>
          <w:color w:val="222222"/>
          <w:sz w:val="24"/>
          <w:szCs w:val="24"/>
          <w:lang w:eastAsia="pt-PT"/>
        </w:rPr>
        <w:t>b.1</w:t>
      </w:r>
      <w:proofErr w:type="gramEnd"/>
      <w:r w:rsidRPr="00707F92">
        <w:rPr>
          <w:rFonts w:eastAsia="Times New Roman"/>
          <w:b/>
          <w:color w:val="222222"/>
          <w:sz w:val="24"/>
          <w:szCs w:val="24"/>
          <w:lang w:eastAsia="pt-PT"/>
        </w:rPr>
        <w:t>) habilitação para a docência em função da área de competências tecnológica em que intervêm, nos termos da legislação em vigor, e experiência profissional no âmbito da educação e formação de adultos  e na área de competência tecnológica visada;</w:t>
      </w:r>
    </w:p>
    <w:p w:rsidR="00327945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327945" w:rsidRPr="003D4A3B" w:rsidRDefault="00327945" w:rsidP="00327945">
      <w:pPr>
        <w:shd w:val="clear" w:color="auto" w:fill="D9D9D9"/>
        <w:spacing w:after="0" w:line="240" w:lineRule="auto"/>
        <w:jc w:val="both"/>
        <w:rPr>
          <w:rFonts w:eastAsia="Times New Roman"/>
          <w:color w:val="222222"/>
          <w:sz w:val="24"/>
          <w:szCs w:val="24"/>
          <w:lang w:eastAsia="pt-PT"/>
        </w:rPr>
      </w:pPr>
      <w:r w:rsidRPr="003D4A3B">
        <w:rPr>
          <w:rFonts w:eastAsia="Times New Roman"/>
          <w:color w:val="222222"/>
          <w:sz w:val="24"/>
          <w:szCs w:val="24"/>
          <w:lang w:eastAsia="pt-PT"/>
        </w:rPr>
        <w:t xml:space="preserve">b.2) habilitação para o exercício das funções de formador, nos termos da legislação em vigor, </w:t>
      </w:r>
      <w:r w:rsidRPr="00327945">
        <w:rPr>
          <w:rFonts w:eastAsia="Times New Roman"/>
          <w:b/>
          <w:sz w:val="24"/>
          <w:szCs w:val="24"/>
          <w:lang w:eastAsia="pt-PT"/>
        </w:rPr>
        <w:t>experiência profissional no âmbito da educação e formação de adultos</w:t>
      </w:r>
      <w:r w:rsidRPr="003D4A3B">
        <w:rPr>
          <w:rFonts w:eastAsia="Times New Roman"/>
          <w:color w:val="FF0000"/>
          <w:sz w:val="24"/>
          <w:szCs w:val="24"/>
          <w:lang w:eastAsia="pt-PT"/>
        </w:rPr>
        <w:t xml:space="preserve"> </w:t>
      </w:r>
      <w:r w:rsidRPr="003D4A3B">
        <w:rPr>
          <w:rFonts w:eastAsia="Times New Roman"/>
          <w:color w:val="222222"/>
          <w:sz w:val="24"/>
          <w:szCs w:val="24"/>
          <w:lang w:eastAsia="pt-PT"/>
        </w:rPr>
        <w:t>e domínio técnico e experiência na saída profissional visada.</w:t>
      </w:r>
    </w:p>
    <w:p w:rsidR="00327945" w:rsidRPr="000F5ED7" w:rsidRDefault="00327945" w:rsidP="00327945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327945" w:rsidRPr="00071DF5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,Bold"/>
          <w:b/>
          <w:bCs/>
          <w:sz w:val="24"/>
          <w:szCs w:val="24"/>
        </w:rPr>
      </w:pPr>
      <w:r w:rsidRPr="00071DF5">
        <w:rPr>
          <w:rFonts w:cs="Trebuchet MS,Bold"/>
          <w:b/>
          <w:bCs/>
          <w:sz w:val="24"/>
          <w:szCs w:val="24"/>
        </w:rPr>
        <w:t>Artigo 22.º</w:t>
      </w:r>
    </w:p>
    <w:p w:rsidR="00327945" w:rsidRPr="00071DF5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,Bold"/>
          <w:b/>
          <w:bCs/>
          <w:sz w:val="24"/>
          <w:szCs w:val="24"/>
        </w:rPr>
      </w:pPr>
      <w:r w:rsidRPr="00071DF5">
        <w:rPr>
          <w:rFonts w:cs="Trebuchet MS,Bold"/>
          <w:b/>
          <w:bCs/>
          <w:sz w:val="24"/>
          <w:szCs w:val="24"/>
        </w:rPr>
        <w:t>Certificação de competências</w:t>
      </w:r>
    </w:p>
    <w:p w:rsidR="00327945" w:rsidRPr="00071DF5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 w:rsidRPr="00071DF5">
        <w:rPr>
          <w:rFonts w:cs="Trebuchet MS"/>
          <w:sz w:val="24"/>
          <w:szCs w:val="24"/>
        </w:rPr>
        <w:t xml:space="preserve">1. </w:t>
      </w:r>
      <w:r>
        <w:rPr>
          <w:rFonts w:cs="Trebuchet MS"/>
          <w:sz w:val="24"/>
          <w:szCs w:val="24"/>
        </w:rPr>
        <w:t>(…)</w:t>
      </w:r>
    </w:p>
    <w:p w:rsidR="00327945" w:rsidRPr="00071DF5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 w:rsidRPr="00071DF5">
        <w:rPr>
          <w:rFonts w:cs="Trebuchet MS"/>
          <w:sz w:val="24"/>
          <w:szCs w:val="24"/>
        </w:rPr>
        <w:t xml:space="preserve">2. </w:t>
      </w:r>
      <w:r w:rsidR="0045043F">
        <w:rPr>
          <w:rFonts w:cs="Trebuchet MS"/>
          <w:sz w:val="24"/>
          <w:szCs w:val="24"/>
        </w:rPr>
        <w:t>(…)</w:t>
      </w:r>
    </w:p>
    <w:p w:rsidR="00327945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 w:rsidRPr="00071DF5">
        <w:rPr>
          <w:rFonts w:cs="Trebuchet MS"/>
          <w:sz w:val="24"/>
          <w:szCs w:val="24"/>
        </w:rPr>
        <w:t>3. A matriz das provas, referidas no nº anterior</w:t>
      </w:r>
      <w:r w:rsidRPr="00327945">
        <w:rPr>
          <w:rFonts w:cs="Trebuchet MS"/>
          <w:b/>
          <w:sz w:val="24"/>
          <w:szCs w:val="24"/>
          <w:shd w:val="clear" w:color="auto" w:fill="D9D9D9"/>
        </w:rPr>
        <w:t>, é elaborada</w:t>
      </w:r>
      <w:r w:rsidR="00707F92">
        <w:rPr>
          <w:rFonts w:cs="Trebuchet MS"/>
          <w:b/>
          <w:sz w:val="24"/>
          <w:szCs w:val="24"/>
          <w:shd w:val="clear" w:color="auto" w:fill="D9D9D9"/>
        </w:rPr>
        <w:t xml:space="preserve"> pela</w:t>
      </w:r>
      <w:r w:rsidR="00707F92" w:rsidRPr="00707F92">
        <w:rPr>
          <w:rFonts w:cs="Trebuchet MS"/>
          <w:b/>
          <w:sz w:val="24"/>
          <w:szCs w:val="24"/>
          <w:shd w:val="clear" w:color="auto" w:fill="D9D9D9"/>
        </w:rPr>
        <w:t xml:space="preserve"> equipa do CQEP</w:t>
      </w:r>
      <w:r w:rsidR="00707F92">
        <w:rPr>
          <w:rFonts w:cs="Trebuchet MS"/>
          <w:b/>
          <w:sz w:val="24"/>
          <w:szCs w:val="24"/>
          <w:shd w:val="clear" w:color="auto" w:fill="D9D9D9"/>
        </w:rPr>
        <w:t xml:space="preserve"> e</w:t>
      </w:r>
      <w:r w:rsidRPr="00327945">
        <w:rPr>
          <w:rFonts w:cs="Trebuchet MS"/>
          <w:b/>
          <w:sz w:val="24"/>
          <w:szCs w:val="24"/>
          <w:shd w:val="clear" w:color="auto" w:fill="D9D9D9"/>
        </w:rPr>
        <w:t xml:space="preserve"> revista</w:t>
      </w:r>
      <w:r w:rsidRPr="00071DF5">
        <w:rPr>
          <w:rFonts w:cs="Trebuchet MS"/>
          <w:color w:val="FF0000"/>
          <w:sz w:val="24"/>
          <w:szCs w:val="24"/>
        </w:rPr>
        <w:t xml:space="preserve"> </w:t>
      </w:r>
      <w:r w:rsidRPr="00071DF5">
        <w:rPr>
          <w:rFonts w:cs="Trebuchet MS"/>
          <w:sz w:val="24"/>
          <w:szCs w:val="24"/>
        </w:rPr>
        <w:t>pela ANQEP, I.P. e deve</w:t>
      </w:r>
      <w:r>
        <w:rPr>
          <w:rFonts w:cs="Trebuchet MS"/>
          <w:sz w:val="24"/>
          <w:szCs w:val="24"/>
        </w:rPr>
        <w:t xml:space="preserve"> </w:t>
      </w:r>
      <w:r w:rsidRPr="00071DF5">
        <w:rPr>
          <w:rFonts w:cs="Trebuchet MS"/>
          <w:sz w:val="24"/>
          <w:szCs w:val="24"/>
        </w:rPr>
        <w:t>identificar o objeto da avaliação, a tipologia, os critérios gerais de avaliação, duração, material e</w:t>
      </w:r>
      <w:r>
        <w:rPr>
          <w:rFonts w:cs="Trebuchet MS"/>
          <w:sz w:val="24"/>
          <w:szCs w:val="24"/>
        </w:rPr>
        <w:t xml:space="preserve"> </w:t>
      </w:r>
      <w:r w:rsidRPr="00071DF5">
        <w:rPr>
          <w:rFonts w:cs="Trebuchet MS"/>
          <w:sz w:val="24"/>
          <w:szCs w:val="24"/>
        </w:rPr>
        <w:t>equipamentos necessários para a sua realização.</w:t>
      </w:r>
    </w:p>
    <w:p w:rsidR="00327945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>
        <w:rPr>
          <w:rFonts w:cs="Trebuchet MS"/>
          <w:sz w:val="24"/>
          <w:szCs w:val="24"/>
        </w:rPr>
        <w:t>4. (…)</w:t>
      </w:r>
    </w:p>
    <w:p w:rsidR="00327945" w:rsidRDefault="00327945" w:rsidP="0032794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>
        <w:rPr>
          <w:rFonts w:cs="Trebuchet MS"/>
          <w:sz w:val="24"/>
          <w:szCs w:val="24"/>
        </w:rPr>
        <w:t xml:space="preserve">5. </w:t>
      </w:r>
      <w:r>
        <w:rPr>
          <w:rFonts w:cs="Trebuchet MS"/>
        </w:rPr>
        <w:t xml:space="preserve">A elaboração da prova e ou dos instrumentos de registo a utilizar para a certificação das competências são da responsabilidade da </w:t>
      </w:r>
      <w:r>
        <w:rPr>
          <w:rFonts w:cs="Trebuchet MS"/>
          <w:color w:val="000000"/>
        </w:rPr>
        <w:t>equipa do CQEP</w:t>
      </w:r>
      <w:r>
        <w:rPr>
          <w:rFonts w:cs="Trebuchet MS"/>
        </w:rPr>
        <w:t>.</w:t>
      </w:r>
      <w:bookmarkStart w:id="0" w:name="_GoBack"/>
      <w:bookmarkEnd w:id="0"/>
    </w:p>
    <w:sectPr w:rsidR="00327945" w:rsidSect="00954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050D7"/>
    <w:multiLevelType w:val="hybridMultilevel"/>
    <w:tmpl w:val="8026A7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CB"/>
    <w:rsid w:val="00017AFF"/>
    <w:rsid w:val="00040954"/>
    <w:rsid w:val="000A38C0"/>
    <w:rsid w:val="00136166"/>
    <w:rsid w:val="00153ABC"/>
    <w:rsid w:val="001C6102"/>
    <w:rsid w:val="00327945"/>
    <w:rsid w:val="00371296"/>
    <w:rsid w:val="004419CB"/>
    <w:rsid w:val="0045043F"/>
    <w:rsid w:val="0055610E"/>
    <w:rsid w:val="00600896"/>
    <w:rsid w:val="006D740F"/>
    <w:rsid w:val="00707F92"/>
    <w:rsid w:val="0075485F"/>
    <w:rsid w:val="007B6191"/>
    <w:rsid w:val="007F1AFA"/>
    <w:rsid w:val="008466FC"/>
    <w:rsid w:val="00881A4C"/>
    <w:rsid w:val="00954D90"/>
    <w:rsid w:val="009725B7"/>
    <w:rsid w:val="009E69B3"/>
    <w:rsid w:val="00A25992"/>
    <w:rsid w:val="00A67B38"/>
    <w:rsid w:val="00A75547"/>
    <w:rsid w:val="00A82144"/>
    <w:rsid w:val="00B2285B"/>
    <w:rsid w:val="00B2528A"/>
    <w:rsid w:val="00B63DA1"/>
    <w:rsid w:val="00D77C99"/>
    <w:rsid w:val="00F30B44"/>
    <w:rsid w:val="00F96B0F"/>
    <w:rsid w:val="00FA04CB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90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19CB"/>
    <w:pPr>
      <w:ind w:left="720"/>
      <w:contextualSpacing/>
    </w:pPr>
  </w:style>
  <w:style w:type="table" w:styleId="Tabelacomgrelha">
    <w:name w:val="Table Grid"/>
    <w:basedOn w:val="Tabelanormal"/>
    <w:uiPriority w:val="59"/>
    <w:rsid w:val="00153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90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19CB"/>
    <w:pPr>
      <w:ind w:left="720"/>
      <w:contextualSpacing/>
    </w:pPr>
  </w:style>
  <w:style w:type="table" w:styleId="Tabelacomgrelha">
    <w:name w:val="Table Grid"/>
    <w:basedOn w:val="Tabelanormal"/>
    <w:uiPriority w:val="59"/>
    <w:rsid w:val="00153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666D0-58A5-476A-8D2D-5EAC2105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1336</Words>
  <Characters>7219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PaulaBarreira</cp:lastModifiedBy>
  <cp:revision>7</cp:revision>
  <dcterms:created xsi:type="dcterms:W3CDTF">2013-02-04T01:41:00Z</dcterms:created>
  <dcterms:modified xsi:type="dcterms:W3CDTF">2013-02-05T21:47:00Z</dcterms:modified>
</cp:coreProperties>
</file>